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9.0 -->
  <w:body>
    <w:p w:rsidR="001E2A6F" w:rsidP="00172DE7" w14:paraId="09AE7EB7" w14:textId="2AB51030">
      <w:pPr>
        <w:spacing w:after="0"/>
        <w:jc w:val="both"/>
        <w:rPr>
          <w:rFonts w:ascii="Arial" w:hAnsi="Arial" w:cs="Arial"/>
          <w:b/>
          <w:u w:val="single"/>
        </w:rPr>
      </w:pPr>
      <w:r w:rsidRPr="00802B52">
        <w:rPr>
          <w:rFonts w:ascii="Arial" w:hAnsi="Arial" w:cs="Arial"/>
          <w:b/>
          <w:u w:val="single"/>
        </w:rPr>
        <w:t>Hillhouse Technology</w:t>
      </w:r>
      <w:r w:rsidRPr="00802B52">
        <w:rPr>
          <w:rFonts w:ascii="Arial" w:hAnsi="Arial" w:cs="Arial"/>
          <w:b/>
          <w:u w:val="single"/>
        </w:rPr>
        <w:t xml:space="preserve"> Enterprise Zone</w:t>
      </w:r>
      <w:r w:rsidRPr="00802B52" w:rsidR="001520EF">
        <w:rPr>
          <w:rFonts w:ascii="Arial" w:hAnsi="Arial" w:cs="Arial"/>
          <w:b/>
          <w:u w:val="single"/>
        </w:rPr>
        <w:t xml:space="preserve"> </w:t>
      </w:r>
      <w:r w:rsidR="00F50303">
        <w:rPr>
          <w:rFonts w:ascii="Arial" w:hAnsi="Arial" w:cs="Arial"/>
          <w:b/>
          <w:u w:val="single"/>
        </w:rPr>
        <w:t xml:space="preserve">Report </w:t>
      </w:r>
      <w:r w:rsidR="00AA337A">
        <w:rPr>
          <w:rFonts w:ascii="Arial" w:hAnsi="Arial" w:cs="Arial"/>
          <w:b/>
          <w:u w:val="single"/>
        </w:rPr>
        <w:t xml:space="preserve">- </w:t>
      </w:r>
      <w:r w:rsidRPr="00802B52" w:rsidR="001520EF">
        <w:rPr>
          <w:rFonts w:ascii="Arial" w:hAnsi="Arial" w:cs="Arial"/>
          <w:b/>
          <w:u w:val="single"/>
        </w:rPr>
        <w:t>Lead Rob Green</w:t>
      </w:r>
    </w:p>
    <w:p w:rsidR="00AA337A" w:rsidRPr="00093A07" w:rsidP="00AA337A" w14:paraId="1A3999C0" w14:textId="77777777">
      <w:pPr>
        <w:spacing w:after="0"/>
        <w:jc w:val="both"/>
        <w:rPr>
          <w:rFonts w:ascii="Arial" w:hAnsi="Arial" w:cs="Arial"/>
          <w:b/>
          <w:u w:val="single"/>
        </w:rPr>
      </w:pPr>
      <w:r w:rsidRPr="00093A07">
        <w:rPr>
          <w:rFonts w:ascii="Arial" w:hAnsi="Arial" w:cs="Arial"/>
          <w:b/>
          <w:u w:val="single"/>
        </w:rPr>
        <w:t>Report up to end Q3 2021/2022 (31</w:t>
      </w:r>
      <w:r w:rsidRPr="00093A07">
        <w:rPr>
          <w:rFonts w:ascii="Arial" w:hAnsi="Arial" w:cs="Arial"/>
          <w:b/>
          <w:u w:val="single"/>
          <w:vertAlign w:val="superscript"/>
        </w:rPr>
        <w:t>st</w:t>
      </w:r>
      <w:r w:rsidRPr="00093A07">
        <w:rPr>
          <w:rFonts w:ascii="Arial" w:hAnsi="Arial" w:cs="Arial"/>
          <w:b/>
          <w:u w:val="single"/>
        </w:rPr>
        <w:t xml:space="preserve"> December 2021) </w:t>
      </w:r>
    </w:p>
    <w:p w:rsidR="001E2A6F" w:rsidRPr="00802B52" w:rsidP="00172DE7" w14:paraId="063FF40C" w14:textId="77777777">
      <w:pPr>
        <w:spacing w:after="0"/>
        <w:jc w:val="both"/>
        <w:rPr>
          <w:rFonts w:ascii="Arial" w:hAnsi="Arial" w:cs="Arial"/>
          <w:b/>
        </w:rPr>
      </w:pPr>
    </w:p>
    <w:p w:rsidR="005E6646" w:rsidRPr="002E51A6" w:rsidP="00172DE7" w14:paraId="5E82215C" w14:textId="4346376A">
      <w:pPr>
        <w:spacing w:after="0"/>
        <w:jc w:val="both"/>
        <w:rPr>
          <w:rFonts w:ascii="Arial" w:hAnsi="Arial" w:cs="Arial"/>
          <w:b/>
          <w:i/>
          <w:iCs/>
        </w:rPr>
      </w:pPr>
      <w:r w:rsidRPr="002E51A6">
        <w:rPr>
          <w:rFonts w:ascii="Arial" w:hAnsi="Arial" w:cs="Arial"/>
          <w:b/>
          <w:i/>
          <w:iCs/>
        </w:rPr>
        <w:t>B</w:t>
      </w:r>
      <w:r w:rsidRPr="002E51A6" w:rsidR="002E51A6">
        <w:rPr>
          <w:rFonts w:ascii="Arial" w:hAnsi="Arial" w:cs="Arial"/>
          <w:b/>
          <w:i/>
          <w:iCs/>
        </w:rPr>
        <w:t>ACKGROUND</w:t>
      </w:r>
      <w:r w:rsidRPr="002E51A6">
        <w:rPr>
          <w:rFonts w:ascii="Arial" w:hAnsi="Arial" w:cs="Arial"/>
          <w:b/>
          <w:i/>
          <w:iCs/>
        </w:rPr>
        <w:t xml:space="preserve"> </w:t>
      </w:r>
    </w:p>
    <w:p w:rsidR="00644259" w:rsidRPr="00802B52" w:rsidP="00172DE7" w14:paraId="1CC158FC" w14:textId="77777777">
      <w:pPr>
        <w:spacing w:after="0"/>
        <w:jc w:val="both"/>
        <w:rPr>
          <w:rFonts w:ascii="Arial" w:hAnsi="Arial" w:cs="Arial"/>
          <w:b/>
        </w:rPr>
      </w:pPr>
    </w:p>
    <w:p w:rsidR="00644259" w:rsidP="00773911" w14:paraId="25606582" w14:textId="269099CD">
      <w:pPr>
        <w:jc w:val="both"/>
        <w:rPr>
          <w:rFonts w:ascii="Arial" w:hAnsi="Arial" w:cs="Arial"/>
        </w:rPr>
      </w:pPr>
      <w:r w:rsidRPr="00802B52">
        <w:rPr>
          <w:rFonts w:ascii="Arial" w:hAnsi="Arial" w:cs="Arial"/>
        </w:rPr>
        <w:t>In April 2016</w:t>
      </w:r>
      <w:r w:rsidRPr="00802B52" w:rsidR="00CB3078">
        <w:rPr>
          <w:rFonts w:ascii="Arial" w:hAnsi="Arial" w:cs="Arial"/>
        </w:rPr>
        <w:t xml:space="preserve"> the Government awarded Enterprise Zone status to</w:t>
      </w:r>
      <w:r w:rsidRPr="00802B52" w:rsidR="00773911">
        <w:rPr>
          <w:rFonts w:ascii="Arial" w:hAnsi="Arial" w:cs="Arial"/>
        </w:rPr>
        <w:t xml:space="preserve"> </w:t>
      </w:r>
      <w:r w:rsidRPr="00802B52">
        <w:rPr>
          <w:rFonts w:ascii="Arial" w:hAnsi="Arial" w:cs="Arial"/>
        </w:rPr>
        <w:t>Hillhouse Technology Enterprise Zone.</w:t>
      </w:r>
      <w:r w:rsidR="00802B52">
        <w:rPr>
          <w:rFonts w:ascii="Arial" w:hAnsi="Arial" w:cs="Arial"/>
          <w:b/>
        </w:rPr>
        <w:t xml:space="preserve"> </w:t>
      </w:r>
      <w:r w:rsidRPr="00802B52">
        <w:rPr>
          <w:rFonts w:ascii="Arial" w:hAnsi="Arial" w:cs="Arial"/>
        </w:rPr>
        <w:t>Hillhouse EZ has benefi</w:t>
      </w:r>
      <w:r w:rsidRPr="00802B52" w:rsidR="007B5054">
        <w:rPr>
          <w:rFonts w:ascii="Arial" w:hAnsi="Arial" w:cs="Arial"/>
        </w:rPr>
        <w:t>t</w:t>
      </w:r>
      <w:r w:rsidRPr="00802B52">
        <w:rPr>
          <w:rFonts w:ascii="Arial" w:hAnsi="Arial" w:cs="Arial"/>
        </w:rPr>
        <w:t>ed</w:t>
      </w:r>
      <w:r w:rsidRPr="00802B52" w:rsidR="007B5054">
        <w:rPr>
          <w:rFonts w:ascii="Arial" w:hAnsi="Arial" w:cs="Arial"/>
        </w:rPr>
        <w:t xml:space="preserve"> </w:t>
      </w:r>
      <w:r w:rsidRPr="00802B52" w:rsidR="00E80CDF">
        <w:rPr>
          <w:rFonts w:ascii="Arial" w:hAnsi="Arial" w:cs="Arial"/>
        </w:rPr>
        <w:t xml:space="preserve">from </w:t>
      </w:r>
      <w:r w:rsidRPr="00802B52" w:rsidR="007B5054">
        <w:rPr>
          <w:rFonts w:ascii="Arial" w:hAnsi="Arial" w:cs="Arial"/>
        </w:rPr>
        <w:t xml:space="preserve">private sector investment including a gas fired generator station Burn Naze IE, </w:t>
      </w:r>
      <w:r w:rsidR="00CC1896">
        <w:rPr>
          <w:rFonts w:ascii="Arial" w:hAnsi="Arial" w:cs="Arial"/>
        </w:rPr>
        <w:t>c.</w:t>
      </w:r>
      <w:r w:rsidRPr="00802B52" w:rsidR="007B5054">
        <w:rPr>
          <w:rFonts w:ascii="Arial" w:hAnsi="Arial" w:cs="Arial"/>
        </w:rPr>
        <w:t xml:space="preserve">30,000 sq ft extension at Addisons Projects, Victrex’s </w:t>
      </w:r>
      <w:r w:rsidR="00CC1896">
        <w:rPr>
          <w:rFonts w:ascii="Arial" w:hAnsi="Arial" w:cs="Arial"/>
        </w:rPr>
        <w:t>c.</w:t>
      </w:r>
      <w:r w:rsidRPr="00802B52" w:rsidR="007B5054">
        <w:rPr>
          <w:rFonts w:ascii="Arial" w:hAnsi="Arial" w:cs="Arial"/>
        </w:rPr>
        <w:t xml:space="preserve">20,000 sq ft </w:t>
      </w:r>
      <w:r w:rsidRPr="00802B52" w:rsidR="004D09D3">
        <w:rPr>
          <w:rFonts w:ascii="Arial" w:hAnsi="Arial" w:cs="Arial"/>
        </w:rPr>
        <w:t xml:space="preserve">R&amp;D </w:t>
      </w:r>
      <w:r w:rsidRPr="00802B52" w:rsidR="007B5054">
        <w:rPr>
          <w:rFonts w:ascii="Arial" w:hAnsi="Arial" w:cs="Arial"/>
        </w:rPr>
        <w:t>p</w:t>
      </w:r>
      <w:r w:rsidRPr="00802B52" w:rsidR="004D09D3">
        <w:rPr>
          <w:rFonts w:ascii="Arial" w:hAnsi="Arial" w:cs="Arial"/>
        </w:rPr>
        <w:t>lant</w:t>
      </w:r>
      <w:r w:rsidR="00496E7E">
        <w:rPr>
          <w:rFonts w:ascii="Arial" w:hAnsi="Arial" w:cs="Arial"/>
        </w:rPr>
        <w:t xml:space="preserve">, </w:t>
      </w:r>
      <w:r w:rsidRPr="00802B52" w:rsidR="007B5054">
        <w:rPr>
          <w:rFonts w:ascii="Arial" w:hAnsi="Arial" w:cs="Arial"/>
        </w:rPr>
        <w:t>completion of AGC CE’s thermal oxidiser</w:t>
      </w:r>
      <w:r w:rsidR="00496E7E">
        <w:rPr>
          <w:rFonts w:ascii="Arial" w:hAnsi="Arial" w:cs="Arial"/>
        </w:rPr>
        <w:t xml:space="preserve"> and a 52,272 sq ft 20MW gas turbine power station</w:t>
      </w:r>
      <w:r w:rsidRPr="00802B52" w:rsidR="007B5054">
        <w:rPr>
          <w:rFonts w:ascii="Arial" w:hAnsi="Arial" w:cs="Arial"/>
        </w:rPr>
        <w:t xml:space="preserve">. </w:t>
      </w:r>
      <w:r w:rsidRPr="00802B52" w:rsidR="00E4520F">
        <w:rPr>
          <w:rFonts w:ascii="Arial" w:hAnsi="Arial" w:cs="Arial"/>
        </w:rPr>
        <w:t>Victrex received circa £1.4m Regional Growth Fund toward the R&amp;D pilot plant</w:t>
      </w:r>
      <w:r w:rsidR="0078229C">
        <w:rPr>
          <w:rFonts w:ascii="Arial" w:hAnsi="Arial" w:cs="Arial"/>
        </w:rPr>
        <w:t>.</w:t>
      </w:r>
      <w:r w:rsidR="005D3338">
        <w:rPr>
          <w:rFonts w:ascii="Arial" w:hAnsi="Arial" w:cs="Arial"/>
        </w:rPr>
        <w:t xml:space="preserve"> </w:t>
      </w:r>
      <w:r w:rsidR="0078229C">
        <w:rPr>
          <w:rFonts w:ascii="Arial" w:hAnsi="Arial" w:cs="Arial"/>
        </w:rPr>
        <w:t>£</w:t>
      </w:r>
      <w:r w:rsidR="00F50303">
        <w:rPr>
          <w:rFonts w:ascii="Arial" w:hAnsi="Arial" w:cs="Arial"/>
        </w:rPr>
        <w:t>504</w:t>
      </w:r>
      <w:r w:rsidR="0078229C">
        <w:rPr>
          <w:rFonts w:ascii="Arial" w:hAnsi="Arial" w:cs="Arial"/>
        </w:rPr>
        <w:t xml:space="preserve">,000 Getting Building Funding has been secured for the water main and gatehouse infrastructure works on site </w:t>
      </w:r>
      <w:r w:rsidR="005D3338">
        <w:rPr>
          <w:rFonts w:ascii="Arial" w:hAnsi="Arial" w:cs="Arial"/>
        </w:rPr>
        <w:t xml:space="preserve">plus additional match funding by Wyre Council and NPL of £63,000 each, </w:t>
      </w:r>
      <w:r w:rsidR="0078229C">
        <w:rPr>
          <w:rFonts w:ascii="Arial" w:hAnsi="Arial" w:cs="Arial"/>
        </w:rPr>
        <w:t>and a further £200,000 from Wyre Borough Council to support a local full fibre network (LFFN) extension to site.</w:t>
      </w:r>
      <w:r w:rsidRPr="00802B52" w:rsidR="00E4520F">
        <w:rPr>
          <w:rFonts w:ascii="Arial" w:hAnsi="Arial" w:cs="Arial"/>
        </w:rPr>
        <w:t xml:space="preserve">  </w:t>
      </w:r>
    </w:p>
    <w:tbl>
      <w:tblPr>
        <w:tblStyle w:val="TableGrid"/>
        <w:tblW w:w="9067" w:type="dxa"/>
        <w:tblLook w:val="04A0"/>
      </w:tblPr>
      <w:tblGrid>
        <w:gridCol w:w="2862"/>
        <w:gridCol w:w="1811"/>
        <w:gridCol w:w="2268"/>
        <w:gridCol w:w="2126"/>
      </w:tblGrid>
      <w:tr w14:paraId="019CBABC" w14:textId="77777777" w:rsidTr="0010404A">
        <w:tblPrEx>
          <w:tblW w:w="9067" w:type="dxa"/>
          <w:tblLook w:val="04A0"/>
        </w:tblPrEx>
        <w:tc>
          <w:tcPr>
            <w:tcW w:w="2862" w:type="dxa"/>
          </w:tcPr>
          <w:p w:rsidR="00F50303" w:rsidP="0010404A" w14:paraId="13517188" w14:textId="77777777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Baselines at April 2016</w:t>
            </w:r>
          </w:p>
        </w:tc>
        <w:tc>
          <w:tcPr>
            <w:tcW w:w="1811" w:type="dxa"/>
          </w:tcPr>
          <w:p w:rsidR="00F50303" w:rsidP="0010404A" w14:paraId="367D1824" w14:textId="77777777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Jobs Created</w:t>
            </w:r>
          </w:p>
        </w:tc>
        <w:tc>
          <w:tcPr>
            <w:tcW w:w="2268" w:type="dxa"/>
          </w:tcPr>
          <w:p w:rsidR="00F50303" w:rsidP="0010404A" w14:paraId="7813FD95" w14:textId="77777777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Companies on Site</w:t>
            </w:r>
          </w:p>
        </w:tc>
        <w:tc>
          <w:tcPr>
            <w:tcW w:w="2126" w:type="dxa"/>
          </w:tcPr>
          <w:p w:rsidR="00F50303" w:rsidP="0010404A" w14:paraId="31F43B89" w14:textId="77777777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Business Rates</w:t>
            </w:r>
          </w:p>
        </w:tc>
      </w:tr>
      <w:tr w14:paraId="1AC171CD" w14:textId="77777777" w:rsidTr="0010404A">
        <w:tblPrEx>
          <w:tblW w:w="9067" w:type="dxa"/>
          <w:tblLook w:val="04A0"/>
        </w:tblPrEx>
        <w:tc>
          <w:tcPr>
            <w:tcW w:w="2862" w:type="dxa"/>
          </w:tcPr>
          <w:p w:rsidR="00F50303" w:rsidRPr="008A55C0" w:rsidP="0010404A" w14:paraId="74B4681B" w14:textId="77777777">
            <w:pPr>
              <w:jc w:val="both"/>
              <w:rPr>
                <w:rFonts w:ascii="Arial" w:hAnsi="Arial" w:cs="Arial"/>
              </w:rPr>
            </w:pPr>
            <w:r w:rsidRPr="008A55C0">
              <w:rPr>
                <w:rFonts w:ascii="Arial" w:hAnsi="Arial" w:cs="Arial"/>
              </w:rPr>
              <w:t xml:space="preserve">Jobs </w:t>
            </w:r>
            <w:r>
              <w:rPr>
                <w:rFonts w:ascii="Arial" w:hAnsi="Arial" w:cs="Arial"/>
              </w:rPr>
              <w:t>Created</w:t>
            </w:r>
          </w:p>
        </w:tc>
        <w:tc>
          <w:tcPr>
            <w:tcW w:w="1811" w:type="dxa"/>
          </w:tcPr>
          <w:p w:rsidR="00F50303" w:rsidRPr="00091863" w:rsidP="0010404A" w14:paraId="480ABB49" w14:textId="77777777">
            <w:pPr>
              <w:jc w:val="both"/>
              <w:rPr>
                <w:rFonts w:ascii="Arial" w:hAnsi="Arial" w:cs="Arial"/>
              </w:rPr>
            </w:pPr>
            <w:r w:rsidRPr="00091863">
              <w:rPr>
                <w:rFonts w:ascii="Arial" w:hAnsi="Arial" w:cs="Arial"/>
              </w:rPr>
              <w:t>1650</w:t>
            </w:r>
          </w:p>
        </w:tc>
        <w:tc>
          <w:tcPr>
            <w:tcW w:w="2268" w:type="dxa"/>
          </w:tcPr>
          <w:p w:rsidR="00F50303" w:rsidRPr="00091863" w:rsidP="0010404A" w14:paraId="5EBFBF0D" w14:textId="777777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</w:p>
        </w:tc>
        <w:tc>
          <w:tcPr>
            <w:tcW w:w="2126" w:type="dxa"/>
          </w:tcPr>
          <w:p w:rsidR="00F50303" w:rsidRPr="00091863" w:rsidP="0010404A" w14:paraId="7D114643" w14:textId="777777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£2.5m</w:t>
            </w:r>
          </w:p>
        </w:tc>
      </w:tr>
    </w:tbl>
    <w:p w:rsidR="00F50303" w:rsidP="006E7250" w14:paraId="0FB176BA" w14:textId="77777777">
      <w:pPr>
        <w:pStyle w:val="NoSpacing"/>
        <w:rPr>
          <w:rFonts w:ascii="Arial" w:hAnsi="Arial" w:cs="Arial"/>
          <w:b/>
          <w:i/>
          <w:iCs/>
        </w:rPr>
      </w:pPr>
    </w:p>
    <w:p w:rsidR="006E7250" w:rsidRPr="002E51A6" w:rsidP="006E7250" w14:paraId="6FB9E339" w14:textId="0A3789E3">
      <w:pPr>
        <w:pStyle w:val="NoSpacing"/>
        <w:rPr>
          <w:rFonts w:ascii="Arial" w:hAnsi="Arial" w:cs="Arial"/>
          <w:b/>
          <w:i/>
          <w:iCs/>
        </w:rPr>
      </w:pPr>
      <w:r w:rsidRPr="002E51A6">
        <w:rPr>
          <w:rFonts w:ascii="Arial" w:hAnsi="Arial" w:cs="Arial"/>
          <w:b/>
          <w:i/>
          <w:iCs/>
        </w:rPr>
        <w:t>P</w:t>
      </w:r>
      <w:r w:rsidRPr="002E51A6" w:rsidR="002E51A6">
        <w:rPr>
          <w:rFonts w:ascii="Arial" w:hAnsi="Arial" w:cs="Arial"/>
          <w:b/>
          <w:i/>
          <w:iCs/>
        </w:rPr>
        <w:t>ERFORMANCE</w:t>
      </w:r>
    </w:p>
    <w:p w:rsidR="006E7250" w:rsidRPr="00802B52" w:rsidP="006E7250" w14:paraId="494EE5BC" w14:textId="77777777">
      <w:pPr>
        <w:pStyle w:val="NoSpacing"/>
      </w:pPr>
    </w:p>
    <w:tbl>
      <w:tblPr>
        <w:tblStyle w:val="TableGrid"/>
        <w:tblW w:w="9067" w:type="dxa"/>
        <w:tblLook w:val="04A0"/>
      </w:tblPr>
      <w:tblGrid>
        <w:gridCol w:w="3964"/>
        <w:gridCol w:w="1843"/>
        <w:gridCol w:w="2126"/>
        <w:gridCol w:w="1134"/>
      </w:tblGrid>
      <w:tr w14:paraId="43413C0A" w14:textId="77777777" w:rsidTr="006E7250">
        <w:tblPrEx>
          <w:tblW w:w="9067" w:type="dxa"/>
          <w:tblLook w:val="04A0"/>
        </w:tblPrEx>
        <w:trPr>
          <w:trHeight w:val="241"/>
        </w:trPr>
        <w:tc>
          <w:tcPr>
            <w:tcW w:w="3964" w:type="dxa"/>
          </w:tcPr>
          <w:p w:rsidR="006E7250" w:rsidRPr="00802B52" w:rsidP="00B15C0B" w14:paraId="72D04A04" w14:textId="777777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KPI Description</w:t>
            </w:r>
            <w:r w:rsidRPr="00802B52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843" w:type="dxa"/>
          </w:tcPr>
          <w:p w:rsidR="006E7250" w:rsidRPr="00802B52" w:rsidP="00B15C0B" w14:paraId="3BB46ACC" w14:textId="47F9B41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Target to 20</w:t>
            </w:r>
            <w:r w:rsidR="001A4055">
              <w:rPr>
                <w:rFonts w:ascii="Arial" w:hAnsi="Arial" w:cs="Arial"/>
                <w:b/>
              </w:rPr>
              <w:t>25</w:t>
            </w:r>
          </w:p>
        </w:tc>
        <w:tc>
          <w:tcPr>
            <w:tcW w:w="2126" w:type="dxa"/>
          </w:tcPr>
          <w:p w:rsidR="006E7250" w:rsidRPr="00802B52" w:rsidP="005767CD" w14:paraId="1371EAF4" w14:textId="39B94045">
            <w:pPr>
              <w:jc w:val="center"/>
              <w:rPr>
                <w:rFonts w:ascii="Arial" w:hAnsi="Arial" w:cs="Arial"/>
                <w:b/>
              </w:rPr>
            </w:pPr>
            <w:r w:rsidRPr="00802B52">
              <w:rPr>
                <w:rFonts w:ascii="Arial" w:hAnsi="Arial" w:cs="Arial"/>
                <w:b/>
              </w:rPr>
              <w:t>Actual</w:t>
            </w:r>
            <w:r>
              <w:rPr>
                <w:rFonts w:ascii="Arial" w:hAnsi="Arial" w:cs="Arial"/>
                <w:b/>
              </w:rPr>
              <w:t>s (Q</w:t>
            </w:r>
            <w:r w:rsidR="00560C90">
              <w:rPr>
                <w:rFonts w:ascii="Arial" w:hAnsi="Arial" w:cs="Arial"/>
                <w:b/>
              </w:rPr>
              <w:t>3 21/22)</w:t>
            </w:r>
          </w:p>
        </w:tc>
        <w:tc>
          <w:tcPr>
            <w:tcW w:w="1134" w:type="dxa"/>
          </w:tcPr>
          <w:p w:rsidR="006E7250" w:rsidRPr="00802B52" w:rsidP="00B15C0B" w14:paraId="144F5A20" w14:textId="777777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RAG</w:t>
            </w:r>
          </w:p>
        </w:tc>
      </w:tr>
      <w:tr w14:paraId="44C3AA6A" w14:textId="77777777" w:rsidTr="001A4055">
        <w:tblPrEx>
          <w:tblW w:w="9067" w:type="dxa"/>
          <w:tblLook w:val="04A0"/>
        </w:tblPrEx>
        <w:tc>
          <w:tcPr>
            <w:tcW w:w="3964" w:type="dxa"/>
          </w:tcPr>
          <w:p w:rsidR="006E7250" w:rsidRPr="00802B52" w:rsidP="00B15C0B" w14:paraId="38A9313D" w14:textId="77777777">
            <w:pPr>
              <w:jc w:val="both"/>
              <w:rPr>
                <w:rFonts w:ascii="Arial" w:hAnsi="Arial" w:cs="Arial"/>
              </w:rPr>
            </w:pPr>
            <w:r w:rsidRPr="00802B52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 xml:space="preserve">ommercial / R&amp;D </w:t>
            </w:r>
            <w:r w:rsidRPr="00802B52">
              <w:rPr>
                <w:rFonts w:ascii="Arial" w:hAnsi="Arial" w:cs="Arial"/>
              </w:rPr>
              <w:t xml:space="preserve">floorspace </w:t>
            </w:r>
            <w:r>
              <w:rPr>
                <w:rFonts w:ascii="Arial" w:hAnsi="Arial" w:cs="Arial"/>
              </w:rPr>
              <w:t>(sqm)</w:t>
            </w:r>
          </w:p>
        </w:tc>
        <w:tc>
          <w:tcPr>
            <w:tcW w:w="1843" w:type="dxa"/>
          </w:tcPr>
          <w:p w:rsidR="006E7250" w:rsidRPr="00802B52" w:rsidP="00B15C0B" w14:paraId="4DD2B053" w14:textId="777777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13,000</w:t>
            </w:r>
          </w:p>
        </w:tc>
        <w:tc>
          <w:tcPr>
            <w:tcW w:w="2126" w:type="dxa"/>
          </w:tcPr>
          <w:p w:rsidR="006E7250" w:rsidRPr="00802B52" w:rsidP="00B15C0B" w14:paraId="26C33EB7" w14:textId="18057C3E">
            <w:pPr>
              <w:jc w:val="center"/>
              <w:rPr>
                <w:rFonts w:ascii="Arial" w:hAnsi="Arial" w:cs="Arial"/>
              </w:rPr>
            </w:pPr>
            <w:r w:rsidRPr="0078229C">
              <w:rPr>
                <w:rFonts w:ascii="Arial" w:hAnsi="Arial" w:cs="Arial"/>
              </w:rPr>
              <w:t>c.9,456</w:t>
            </w:r>
          </w:p>
        </w:tc>
        <w:tc>
          <w:tcPr>
            <w:tcW w:w="1134" w:type="dxa"/>
            <w:shd w:val="clear" w:color="auto" w:fill="92D050"/>
          </w:tcPr>
          <w:p w:rsidR="006E7250" w:rsidRPr="00E73868" w:rsidP="00B15C0B" w14:paraId="2B49AECD" w14:textId="77777777">
            <w:pPr>
              <w:jc w:val="center"/>
              <w:rPr>
                <w:rFonts w:ascii="Arial" w:hAnsi="Arial" w:cs="Arial"/>
                <w:color w:val="FFFF00"/>
                <w:highlight w:val="yellow"/>
              </w:rPr>
            </w:pPr>
          </w:p>
        </w:tc>
      </w:tr>
      <w:tr w14:paraId="6CB4F666" w14:textId="77777777" w:rsidTr="001A4055">
        <w:tblPrEx>
          <w:tblW w:w="9067" w:type="dxa"/>
          <w:tblLook w:val="04A0"/>
        </w:tblPrEx>
        <w:tc>
          <w:tcPr>
            <w:tcW w:w="3964" w:type="dxa"/>
          </w:tcPr>
          <w:p w:rsidR="006E7250" w:rsidRPr="00802B52" w:rsidP="00B15C0B" w14:paraId="216D8A56" w14:textId="77777777">
            <w:pPr>
              <w:jc w:val="both"/>
              <w:rPr>
                <w:rFonts w:ascii="Arial" w:hAnsi="Arial" w:cs="Arial"/>
              </w:rPr>
            </w:pPr>
            <w:r w:rsidRPr="00802B52">
              <w:rPr>
                <w:rFonts w:ascii="Arial" w:hAnsi="Arial" w:cs="Arial"/>
              </w:rPr>
              <w:t xml:space="preserve">Jobs </w:t>
            </w:r>
            <w:r>
              <w:rPr>
                <w:rFonts w:ascii="Arial" w:hAnsi="Arial" w:cs="Arial"/>
              </w:rPr>
              <w:t>Created</w:t>
            </w:r>
          </w:p>
        </w:tc>
        <w:tc>
          <w:tcPr>
            <w:tcW w:w="1843" w:type="dxa"/>
          </w:tcPr>
          <w:p w:rsidR="006E7250" w:rsidRPr="00802B52" w:rsidP="00B15C0B" w14:paraId="0260D951" w14:textId="777777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137</w:t>
            </w:r>
          </w:p>
        </w:tc>
        <w:tc>
          <w:tcPr>
            <w:tcW w:w="2126" w:type="dxa"/>
          </w:tcPr>
          <w:p w:rsidR="006E7250" w:rsidRPr="00802B52" w:rsidP="00B15C0B" w14:paraId="587DA442" w14:textId="6570B35F">
            <w:pPr>
              <w:jc w:val="center"/>
              <w:rPr>
                <w:rFonts w:ascii="Arial" w:hAnsi="Arial" w:cs="Arial"/>
              </w:rPr>
            </w:pPr>
            <w:r w:rsidRPr="0078229C">
              <w:rPr>
                <w:rFonts w:ascii="Arial" w:hAnsi="Arial" w:cs="Arial"/>
              </w:rPr>
              <w:t>9</w:t>
            </w:r>
            <w:r w:rsidRPr="0078229C">
              <w:rPr>
                <w:rFonts w:ascii="Arial" w:hAnsi="Arial" w:cs="Arial"/>
              </w:rPr>
              <w:t>8</w:t>
            </w:r>
          </w:p>
        </w:tc>
        <w:tc>
          <w:tcPr>
            <w:tcW w:w="1134" w:type="dxa"/>
            <w:shd w:val="clear" w:color="auto" w:fill="92D050"/>
          </w:tcPr>
          <w:p w:rsidR="006E7250" w:rsidRPr="00E73868" w:rsidP="00B15C0B" w14:paraId="67135BC8" w14:textId="77777777">
            <w:pPr>
              <w:jc w:val="center"/>
              <w:rPr>
                <w:rFonts w:ascii="Arial" w:hAnsi="Arial" w:cs="Arial"/>
                <w:color w:val="FFFF00"/>
                <w:highlight w:val="yellow"/>
              </w:rPr>
            </w:pPr>
          </w:p>
        </w:tc>
      </w:tr>
      <w:tr w14:paraId="32C1A092" w14:textId="77777777" w:rsidTr="001A4055">
        <w:tblPrEx>
          <w:tblW w:w="9067" w:type="dxa"/>
          <w:tblLook w:val="04A0"/>
        </w:tblPrEx>
        <w:tc>
          <w:tcPr>
            <w:tcW w:w="3964" w:type="dxa"/>
          </w:tcPr>
          <w:p w:rsidR="006E7250" w:rsidRPr="00802B52" w:rsidP="00B15C0B" w14:paraId="755D92B9" w14:textId="77777777">
            <w:pPr>
              <w:jc w:val="both"/>
              <w:rPr>
                <w:rFonts w:ascii="Arial" w:hAnsi="Arial" w:cs="Arial"/>
              </w:rPr>
            </w:pPr>
            <w:r w:rsidRPr="00802B52">
              <w:rPr>
                <w:rFonts w:ascii="Arial" w:hAnsi="Arial" w:cs="Arial"/>
              </w:rPr>
              <w:t xml:space="preserve">Land Sales </w:t>
            </w:r>
          </w:p>
        </w:tc>
        <w:tc>
          <w:tcPr>
            <w:tcW w:w="1843" w:type="dxa"/>
          </w:tcPr>
          <w:p w:rsidR="006E7250" w:rsidRPr="00802B52" w:rsidP="00B15C0B" w14:paraId="21D2C429" w14:textId="777777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£1.5m</w:t>
            </w:r>
          </w:p>
        </w:tc>
        <w:tc>
          <w:tcPr>
            <w:tcW w:w="2126" w:type="dxa"/>
          </w:tcPr>
          <w:p w:rsidR="006E7250" w:rsidRPr="00802B52" w:rsidP="00B15C0B" w14:paraId="2DBC2399" w14:textId="77777777">
            <w:pPr>
              <w:jc w:val="center"/>
              <w:rPr>
                <w:rFonts w:ascii="Arial" w:hAnsi="Arial" w:cs="Arial"/>
              </w:rPr>
            </w:pPr>
            <w:r w:rsidRPr="00802B52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  <w:shd w:val="clear" w:color="auto" w:fill="92D050"/>
          </w:tcPr>
          <w:p w:rsidR="006E7250" w:rsidRPr="00E73868" w:rsidP="00B15C0B" w14:paraId="25AE8218" w14:textId="77777777">
            <w:pPr>
              <w:jc w:val="center"/>
              <w:rPr>
                <w:rFonts w:ascii="Arial" w:hAnsi="Arial" w:cs="Arial"/>
                <w:color w:val="FFFF00"/>
                <w:highlight w:val="yellow"/>
              </w:rPr>
            </w:pPr>
          </w:p>
        </w:tc>
      </w:tr>
    </w:tbl>
    <w:p w:rsidR="006E7250" w:rsidP="006E7250" w14:paraId="4939D050" w14:textId="373A3D82">
      <w:pPr>
        <w:spacing w:after="0"/>
        <w:jc w:val="both"/>
        <w:rPr>
          <w:rFonts w:ascii="Arial" w:hAnsi="Arial" w:cs="Arial"/>
          <w:b/>
        </w:rPr>
      </w:pPr>
    </w:p>
    <w:p w:rsidR="001A4055" w:rsidRPr="000C1F28" w:rsidP="001A4055" w14:paraId="072FC86E" w14:textId="1DC10258">
      <w:pPr>
        <w:pStyle w:val="NoSpacing"/>
        <w:jc w:val="both"/>
        <w:rPr>
          <w:rFonts w:ascii="Arial" w:hAnsi="Arial" w:cs="Arial"/>
        </w:rPr>
      </w:pPr>
      <w:r w:rsidRPr="000C1F28">
        <w:rPr>
          <w:rFonts w:ascii="Arial" w:hAnsi="Arial" w:cs="Arial"/>
        </w:rPr>
        <w:t xml:space="preserve">Whilst the programme is </w:t>
      </w:r>
      <w:r w:rsidRPr="000C1F28" w:rsidR="00527469">
        <w:rPr>
          <w:rFonts w:ascii="Arial" w:hAnsi="Arial" w:cs="Arial"/>
        </w:rPr>
        <w:t xml:space="preserve">largely </w:t>
      </w:r>
      <w:r w:rsidRPr="000C1F28">
        <w:rPr>
          <w:rFonts w:ascii="Arial" w:hAnsi="Arial" w:cs="Arial"/>
        </w:rPr>
        <w:t>progressing</w:t>
      </w:r>
      <w:r w:rsidRPr="000C1F28" w:rsidR="00527469">
        <w:rPr>
          <w:rFonts w:ascii="Arial" w:hAnsi="Arial" w:cs="Arial"/>
        </w:rPr>
        <w:t xml:space="preserve"> </w:t>
      </w:r>
      <w:r w:rsidRPr="000C1F28">
        <w:rPr>
          <w:rFonts w:ascii="Arial" w:hAnsi="Arial" w:cs="Arial"/>
        </w:rPr>
        <w:t>in line with profiles, it should be noted, t</w:t>
      </w:r>
      <w:r w:rsidRPr="000C1F28" w:rsidR="006E7250">
        <w:rPr>
          <w:rFonts w:ascii="Arial" w:hAnsi="Arial" w:cs="Arial"/>
        </w:rPr>
        <w:t>he history and layout of the site suits large investments, which take a considerable amount of time to develop, as such the impact of Covid is more likely to have a stronger impact here. However when they do take place, they will have a considerable positive impact upon KPIs.</w:t>
      </w:r>
    </w:p>
    <w:p w:rsidR="006E7250" w:rsidRPr="000C1F28" w:rsidP="001A4055" w14:paraId="19B91D68" w14:textId="073E96E7">
      <w:pPr>
        <w:pStyle w:val="NoSpacing"/>
        <w:jc w:val="both"/>
        <w:rPr>
          <w:rFonts w:ascii="Arial" w:hAnsi="Arial" w:cs="Arial"/>
        </w:rPr>
      </w:pPr>
      <w:r w:rsidRPr="000C1F28">
        <w:rPr>
          <w:rFonts w:ascii="Arial" w:hAnsi="Arial" w:cs="Arial"/>
        </w:rPr>
        <w:t xml:space="preserve"> </w:t>
      </w:r>
    </w:p>
    <w:p w:rsidR="006E7250" w:rsidRPr="001A4055" w:rsidP="001A4055" w14:paraId="6DA9E85C" w14:textId="7FF1D085">
      <w:pPr>
        <w:pStyle w:val="NoSpacing"/>
        <w:jc w:val="both"/>
        <w:rPr>
          <w:rFonts w:ascii="Arial" w:hAnsi="Arial" w:cs="Arial"/>
        </w:rPr>
      </w:pPr>
      <w:r w:rsidRPr="000C1F28">
        <w:rPr>
          <w:rFonts w:ascii="Arial" w:hAnsi="Arial" w:cs="Arial"/>
        </w:rPr>
        <w:t>On-going p</w:t>
      </w:r>
      <w:r w:rsidRPr="000C1F28">
        <w:rPr>
          <w:rFonts w:ascii="Arial" w:hAnsi="Arial" w:cs="Arial"/>
        </w:rPr>
        <w:t>erformance</w:t>
      </w:r>
      <w:r w:rsidRPr="000C1F28">
        <w:rPr>
          <w:rFonts w:ascii="Arial" w:hAnsi="Arial" w:cs="Arial"/>
        </w:rPr>
        <w:t>, as per the table above,</w:t>
      </w:r>
      <w:r w:rsidRPr="000C1F28">
        <w:rPr>
          <w:rFonts w:ascii="Arial" w:hAnsi="Arial" w:cs="Arial"/>
        </w:rPr>
        <w:t xml:space="preserve"> is </w:t>
      </w:r>
      <w:r w:rsidRPr="000C1F28">
        <w:rPr>
          <w:rFonts w:ascii="Arial" w:hAnsi="Arial" w:cs="Arial"/>
        </w:rPr>
        <w:t xml:space="preserve">significantly </w:t>
      </w:r>
      <w:r w:rsidRPr="000C1F28">
        <w:rPr>
          <w:rFonts w:ascii="Arial" w:hAnsi="Arial" w:cs="Arial"/>
        </w:rPr>
        <w:t>linked to the delivery of the Getting Building Fund project which brings forward (quicker than relying solely on EZ funds) smaller land parcels to a more open market</w:t>
      </w:r>
      <w:r w:rsidRPr="000C1F28">
        <w:rPr>
          <w:rFonts w:ascii="Arial" w:hAnsi="Arial" w:cs="Arial"/>
        </w:rPr>
        <w:t xml:space="preserve">. Qtr. 3 21/22 reporting received </w:t>
      </w:r>
      <w:r w:rsidRPr="000C1F28" w:rsidR="00527469">
        <w:rPr>
          <w:rFonts w:ascii="Arial" w:hAnsi="Arial" w:cs="Arial"/>
        </w:rPr>
        <w:t xml:space="preserve">to the LEP </w:t>
      </w:r>
      <w:r w:rsidRPr="000C1F28">
        <w:rPr>
          <w:rFonts w:ascii="Arial" w:hAnsi="Arial" w:cs="Arial"/>
        </w:rPr>
        <w:t>last month, advises the project is delivering in accordance with contracted profiles, with works due to complete on the infrastructure elements March 2022, and the associated outputs delivered by 2025.</w:t>
      </w:r>
      <w:r>
        <w:rPr>
          <w:rFonts w:ascii="Arial" w:hAnsi="Arial" w:cs="Arial"/>
        </w:rPr>
        <w:t xml:space="preserve"> </w:t>
      </w:r>
      <w:r w:rsidRPr="001A4055">
        <w:rPr>
          <w:rFonts w:ascii="Arial" w:hAnsi="Arial" w:cs="Arial"/>
        </w:rPr>
        <w:t xml:space="preserve"> </w:t>
      </w:r>
    </w:p>
    <w:p w:rsidR="006E7250" w:rsidRPr="006B1773" w:rsidP="006E7250" w14:paraId="2A440500" w14:textId="77777777">
      <w:pPr>
        <w:pStyle w:val="NoSpacing"/>
        <w:jc w:val="both"/>
        <w:rPr>
          <w:rFonts w:ascii="Arial" w:hAnsi="Arial" w:cs="Arial"/>
        </w:rPr>
      </w:pPr>
    </w:p>
    <w:tbl>
      <w:tblPr>
        <w:tblStyle w:val="TableGrid"/>
        <w:tblW w:w="5000" w:type="pct"/>
        <w:tblLook w:val="04A0"/>
      </w:tblPr>
      <w:tblGrid>
        <w:gridCol w:w="7736"/>
        <w:gridCol w:w="1280"/>
      </w:tblGrid>
      <w:tr w14:paraId="77483814" w14:textId="77777777" w:rsidTr="00527469">
        <w:tblPrEx>
          <w:tblW w:w="5000" w:type="pct"/>
          <w:tblLook w:val="04A0"/>
        </w:tblPrEx>
        <w:tc>
          <w:tcPr>
            <w:tcW w:w="4321" w:type="pct"/>
          </w:tcPr>
          <w:p w:rsidR="00AA337A" w:rsidRPr="001A4055" w:rsidP="00FC58D8" w14:paraId="7391B06E" w14:textId="77777777">
            <w:pPr>
              <w:rPr>
                <w:rFonts w:ascii="Arial" w:hAnsi="Arial" w:cs="Arial"/>
                <w:b/>
              </w:rPr>
            </w:pPr>
            <w:r w:rsidRPr="001A4055">
              <w:rPr>
                <w:rFonts w:ascii="Arial" w:hAnsi="Arial" w:cs="Arial"/>
                <w:b/>
              </w:rPr>
              <w:t>Milestones</w:t>
            </w:r>
          </w:p>
          <w:p w:rsidR="00AA337A" w:rsidRPr="001A4055" w:rsidP="00FC58D8" w14:paraId="372A72AF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679" w:type="pct"/>
          </w:tcPr>
          <w:p w:rsidR="00AA337A" w:rsidRPr="001A4055" w:rsidP="00FC58D8" w14:paraId="727E6DD3" w14:textId="77777777">
            <w:pPr>
              <w:rPr>
                <w:rFonts w:ascii="Arial" w:hAnsi="Arial" w:cs="Arial"/>
                <w:b/>
              </w:rPr>
            </w:pPr>
            <w:r w:rsidRPr="001A4055">
              <w:rPr>
                <w:rFonts w:ascii="Arial" w:hAnsi="Arial" w:cs="Arial"/>
                <w:b/>
              </w:rPr>
              <w:t>Dates</w:t>
            </w:r>
          </w:p>
        </w:tc>
      </w:tr>
      <w:tr w14:paraId="4A2F0F23" w14:textId="77777777" w:rsidTr="00527469">
        <w:tblPrEx>
          <w:tblW w:w="5000" w:type="pct"/>
          <w:tblLook w:val="04A0"/>
        </w:tblPrEx>
        <w:tc>
          <w:tcPr>
            <w:tcW w:w="4321" w:type="pct"/>
          </w:tcPr>
          <w:p w:rsidR="00AA337A" w:rsidRPr="00744041" w:rsidP="00FC58D8" w14:paraId="289C3DFE" w14:textId="77777777">
            <w:pPr>
              <w:rPr>
                <w:rFonts w:ascii="Arial" w:hAnsi="Arial" w:cs="Arial"/>
                <w:b/>
              </w:rPr>
            </w:pPr>
            <w:r w:rsidRPr="00744041">
              <w:rPr>
                <w:rFonts w:ascii="Arial" w:hAnsi="Arial" w:cs="Arial"/>
              </w:rPr>
              <w:t xml:space="preserve">Forsa Energy completion of build and commissioning  </w:t>
            </w:r>
          </w:p>
        </w:tc>
        <w:tc>
          <w:tcPr>
            <w:tcW w:w="679" w:type="pct"/>
          </w:tcPr>
          <w:p w:rsidR="00AA337A" w:rsidRPr="00744041" w:rsidP="00FC58D8" w14:paraId="0D031451" w14:textId="77777777">
            <w:pPr>
              <w:rPr>
                <w:rFonts w:ascii="Arial" w:hAnsi="Arial" w:cs="Arial"/>
                <w:b/>
              </w:rPr>
            </w:pPr>
            <w:r w:rsidRPr="00744041">
              <w:rPr>
                <w:rFonts w:ascii="Arial" w:hAnsi="Arial" w:cs="Arial"/>
              </w:rPr>
              <w:t>Completed</w:t>
            </w:r>
          </w:p>
        </w:tc>
      </w:tr>
      <w:tr w14:paraId="10B50A48" w14:textId="77777777" w:rsidTr="00527469">
        <w:tblPrEx>
          <w:tblW w:w="5000" w:type="pct"/>
          <w:tblLook w:val="04A0"/>
        </w:tblPrEx>
        <w:tc>
          <w:tcPr>
            <w:tcW w:w="4321" w:type="pct"/>
          </w:tcPr>
          <w:p w:rsidR="00AA337A" w:rsidRPr="00744041" w:rsidP="00FC58D8" w14:paraId="0A6495E6" w14:textId="77777777">
            <w:pPr>
              <w:rPr>
                <w:rFonts w:ascii="Arial" w:hAnsi="Arial" w:cs="Arial"/>
                <w:b/>
              </w:rPr>
            </w:pPr>
            <w:r w:rsidRPr="00744041">
              <w:rPr>
                <w:rFonts w:ascii="Arial" w:hAnsi="Arial" w:cs="Arial"/>
              </w:rPr>
              <w:t>Getting Building Fund grant fund agreement - LEP/NPL agreed</w:t>
            </w:r>
          </w:p>
        </w:tc>
        <w:tc>
          <w:tcPr>
            <w:tcW w:w="679" w:type="pct"/>
          </w:tcPr>
          <w:p w:rsidR="00AA337A" w:rsidRPr="00744041" w:rsidP="00FC58D8" w14:paraId="4FD74669" w14:textId="77777777">
            <w:pPr>
              <w:rPr>
                <w:rFonts w:ascii="Arial" w:hAnsi="Arial" w:cs="Arial"/>
                <w:b/>
              </w:rPr>
            </w:pPr>
            <w:r w:rsidRPr="00744041">
              <w:rPr>
                <w:rFonts w:ascii="Arial" w:hAnsi="Arial" w:cs="Arial"/>
              </w:rPr>
              <w:t xml:space="preserve">Completed </w:t>
            </w:r>
          </w:p>
        </w:tc>
      </w:tr>
      <w:tr w14:paraId="4291808E" w14:textId="77777777" w:rsidTr="00527469">
        <w:tblPrEx>
          <w:tblW w:w="5000" w:type="pct"/>
          <w:tblLook w:val="04A0"/>
        </w:tblPrEx>
        <w:tc>
          <w:tcPr>
            <w:tcW w:w="4321" w:type="pct"/>
          </w:tcPr>
          <w:p w:rsidR="00AA337A" w:rsidRPr="00744041" w:rsidP="00FC58D8" w14:paraId="0C58215C" w14:textId="77777777">
            <w:pPr>
              <w:rPr>
                <w:rFonts w:ascii="Arial" w:hAnsi="Arial" w:cs="Arial"/>
              </w:rPr>
            </w:pPr>
            <w:r w:rsidRPr="00744041">
              <w:rPr>
                <w:rFonts w:ascii="Arial" w:hAnsi="Arial" w:cs="Arial"/>
              </w:rPr>
              <w:t xml:space="preserve">Appointment of joint international marketing agent LAMEC brand </w:t>
            </w:r>
          </w:p>
        </w:tc>
        <w:tc>
          <w:tcPr>
            <w:tcW w:w="679" w:type="pct"/>
          </w:tcPr>
          <w:p w:rsidR="00AA337A" w:rsidRPr="00744041" w:rsidP="00FC58D8" w14:paraId="2C04788D" w14:textId="77777777">
            <w:pPr>
              <w:rPr>
                <w:rFonts w:ascii="Arial" w:hAnsi="Arial" w:cs="Arial"/>
              </w:rPr>
            </w:pPr>
            <w:r w:rsidRPr="00744041">
              <w:rPr>
                <w:rFonts w:ascii="Arial" w:hAnsi="Arial" w:cs="Arial"/>
              </w:rPr>
              <w:t xml:space="preserve">Completed </w:t>
            </w:r>
          </w:p>
        </w:tc>
      </w:tr>
      <w:tr w14:paraId="257838D5" w14:textId="77777777" w:rsidTr="00527469">
        <w:tblPrEx>
          <w:tblW w:w="5000" w:type="pct"/>
          <w:tblLook w:val="04A0"/>
        </w:tblPrEx>
        <w:tc>
          <w:tcPr>
            <w:tcW w:w="4321" w:type="pct"/>
          </w:tcPr>
          <w:p w:rsidR="00AA337A" w:rsidRPr="00744041" w:rsidP="00FC58D8" w14:paraId="62FD9E6D" w14:textId="77777777">
            <w:pPr>
              <w:rPr>
                <w:rFonts w:ascii="Arial" w:hAnsi="Arial" w:cs="Arial"/>
              </w:rPr>
            </w:pPr>
            <w:r w:rsidRPr="00744041">
              <w:rPr>
                <w:rFonts w:ascii="Arial" w:hAnsi="Arial" w:cs="Arial"/>
              </w:rPr>
              <w:t>Planning application submitted utilities and infrastructure upgrade including new gatehouse</w:t>
            </w:r>
          </w:p>
        </w:tc>
        <w:tc>
          <w:tcPr>
            <w:tcW w:w="679" w:type="pct"/>
          </w:tcPr>
          <w:p w:rsidR="00AA337A" w:rsidRPr="00744041" w:rsidP="00FC58D8" w14:paraId="36B3A972" w14:textId="77777777">
            <w:pPr>
              <w:rPr>
                <w:rFonts w:ascii="Arial" w:hAnsi="Arial" w:cs="Arial"/>
              </w:rPr>
            </w:pPr>
            <w:r w:rsidRPr="00744041">
              <w:rPr>
                <w:rFonts w:ascii="Arial" w:hAnsi="Arial" w:cs="Arial"/>
              </w:rPr>
              <w:t>Completed</w:t>
            </w:r>
          </w:p>
        </w:tc>
      </w:tr>
      <w:tr w14:paraId="59D1FEA8" w14:textId="77777777" w:rsidTr="00527469">
        <w:tblPrEx>
          <w:tblW w:w="5000" w:type="pct"/>
          <w:tblLook w:val="04A0"/>
        </w:tblPrEx>
        <w:tc>
          <w:tcPr>
            <w:tcW w:w="4321" w:type="pct"/>
          </w:tcPr>
          <w:p w:rsidR="00AA337A" w:rsidRPr="00744041" w:rsidP="00FC58D8" w14:paraId="1029029F" w14:textId="77777777">
            <w:pPr>
              <w:rPr>
                <w:rFonts w:ascii="Arial" w:hAnsi="Arial" w:cs="Arial"/>
              </w:rPr>
            </w:pPr>
            <w:r w:rsidRPr="00744041">
              <w:rPr>
                <w:rFonts w:ascii="Arial" w:hAnsi="Arial" w:cs="Arial"/>
              </w:rPr>
              <w:t xml:space="preserve">Planning permission granted for utilities infrastructure and new gatehouse </w:t>
            </w:r>
          </w:p>
        </w:tc>
        <w:tc>
          <w:tcPr>
            <w:tcW w:w="679" w:type="pct"/>
          </w:tcPr>
          <w:p w:rsidR="00AA337A" w:rsidRPr="00744041" w:rsidP="00FC58D8" w14:paraId="10564CEE" w14:textId="77777777">
            <w:pPr>
              <w:rPr>
                <w:rFonts w:ascii="Arial" w:hAnsi="Arial" w:cs="Arial"/>
              </w:rPr>
            </w:pPr>
            <w:r w:rsidRPr="00744041">
              <w:rPr>
                <w:rFonts w:ascii="Arial" w:hAnsi="Arial" w:cs="Arial"/>
              </w:rPr>
              <w:t>Completed</w:t>
            </w:r>
          </w:p>
        </w:tc>
      </w:tr>
      <w:tr w14:paraId="33225A10" w14:textId="77777777" w:rsidTr="00527469">
        <w:tblPrEx>
          <w:tblW w:w="5000" w:type="pct"/>
          <w:tblLook w:val="04A0"/>
        </w:tblPrEx>
        <w:tc>
          <w:tcPr>
            <w:tcW w:w="4321" w:type="pct"/>
          </w:tcPr>
          <w:p w:rsidR="00AA337A" w:rsidRPr="00744041" w:rsidP="00FC58D8" w14:paraId="682355B6" w14:textId="77777777">
            <w:pPr>
              <w:rPr>
                <w:rFonts w:ascii="Arial" w:hAnsi="Arial" w:cs="Arial"/>
              </w:rPr>
            </w:pPr>
            <w:r w:rsidRPr="00744041">
              <w:rPr>
                <w:rFonts w:ascii="Arial" w:hAnsi="Arial" w:cs="Arial"/>
              </w:rPr>
              <w:t xml:space="preserve">Demolition and clearance of Vinnolit plots complete </w:t>
            </w:r>
          </w:p>
        </w:tc>
        <w:tc>
          <w:tcPr>
            <w:tcW w:w="679" w:type="pct"/>
          </w:tcPr>
          <w:p w:rsidR="00AA337A" w:rsidRPr="00744041" w:rsidP="00FC58D8" w14:paraId="2E9C096D" w14:textId="77777777">
            <w:pPr>
              <w:rPr>
                <w:rFonts w:ascii="Arial" w:hAnsi="Arial" w:cs="Arial"/>
              </w:rPr>
            </w:pPr>
            <w:r w:rsidRPr="00744041">
              <w:rPr>
                <w:rFonts w:ascii="Arial" w:hAnsi="Arial" w:cs="Arial"/>
              </w:rPr>
              <w:t xml:space="preserve">Completed </w:t>
            </w:r>
          </w:p>
        </w:tc>
      </w:tr>
      <w:tr w14:paraId="7032BA69" w14:textId="77777777" w:rsidTr="00527469">
        <w:tblPrEx>
          <w:tblW w:w="5000" w:type="pct"/>
          <w:tblLook w:val="04A0"/>
        </w:tblPrEx>
        <w:tc>
          <w:tcPr>
            <w:tcW w:w="4321" w:type="pct"/>
          </w:tcPr>
          <w:p w:rsidR="00AA337A" w:rsidRPr="00744041" w:rsidP="00FC58D8" w14:paraId="47E5EBE2" w14:textId="77777777">
            <w:pPr>
              <w:rPr>
                <w:rFonts w:ascii="Arial" w:hAnsi="Arial" w:cs="Arial"/>
              </w:rPr>
            </w:pPr>
            <w:r w:rsidRPr="00744041">
              <w:rPr>
                <w:rFonts w:ascii="Arial" w:hAnsi="Arial" w:cs="Arial"/>
              </w:rPr>
              <w:t xml:space="preserve">Procure subsidy control advice once Implementation plan complete </w:t>
            </w:r>
          </w:p>
        </w:tc>
        <w:tc>
          <w:tcPr>
            <w:tcW w:w="679" w:type="pct"/>
          </w:tcPr>
          <w:p w:rsidR="00AA337A" w:rsidRPr="00744041" w:rsidP="00FC58D8" w14:paraId="5A970F4C" w14:textId="77777777">
            <w:pPr>
              <w:rPr>
                <w:rFonts w:ascii="Arial" w:hAnsi="Arial" w:cs="Arial"/>
              </w:rPr>
            </w:pPr>
            <w:r w:rsidRPr="00744041">
              <w:rPr>
                <w:rFonts w:ascii="Arial" w:hAnsi="Arial" w:cs="Arial"/>
              </w:rPr>
              <w:t>TBC</w:t>
            </w:r>
          </w:p>
        </w:tc>
      </w:tr>
      <w:tr w14:paraId="2A7610B0" w14:textId="77777777" w:rsidTr="00527469">
        <w:tblPrEx>
          <w:tblW w:w="5000" w:type="pct"/>
          <w:tblLook w:val="04A0"/>
        </w:tblPrEx>
        <w:tc>
          <w:tcPr>
            <w:tcW w:w="4321" w:type="pct"/>
          </w:tcPr>
          <w:p w:rsidR="00AA337A" w:rsidRPr="00744041" w:rsidP="00FC58D8" w14:paraId="65264C3F" w14:textId="77777777">
            <w:pPr>
              <w:rPr>
                <w:rFonts w:ascii="Arial" w:hAnsi="Arial" w:cs="Arial"/>
              </w:rPr>
            </w:pPr>
            <w:r w:rsidRPr="00744041">
              <w:rPr>
                <w:rFonts w:ascii="Arial" w:hAnsi="Arial" w:cs="Arial"/>
              </w:rPr>
              <w:t xml:space="preserve">Completion of revised Delivery Plan and masterplan refresh </w:t>
            </w:r>
          </w:p>
        </w:tc>
        <w:tc>
          <w:tcPr>
            <w:tcW w:w="679" w:type="pct"/>
          </w:tcPr>
          <w:p w:rsidR="00AA337A" w:rsidRPr="00744041" w:rsidP="00FC58D8" w14:paraId="094801B4" w14:textId="77777777">
            <w:pPr>
              <w:rPr>
                <w:rFonts w:ascii="Arial" w:hAnsi="Arial" w:cs="Arial"/>
              </w:rPr>
            </w:pPr>
            <w:r w:rsidRPr="00744041">
              <w:rPr>
                <w:rFonts w:ascii="Arial" w:hAnsi="Arial" w:cs="Arial"/>
              </w:rPr>
              <w:t xml:space="preserve">Ongoing </w:t>
            </w:r>
          </w:p>
        </w:tc>
      </w:tr>
      <w:tr w14:paraId="184B5F64" w14:textId="77777777" w:rsidTr="00527469">
        <w:tblPrEx>
          <w:tblW w:w="5000" w:type="pct"/>
          <w:tblLook w:val="04A0"/>
        </w:tblPrEx>
        <w:tc>
          <w:tcPr>
            <w:tcW w:w="4321" w:type="pct"/>
          </w:tcPr>
          <w:p w:rsidR="00AA337A" w:rsidRPr="00744041" w:rsidP="00FC58D8" w14:paraId="0E6AEF8E" w14:textId="77777777">
            <w:pPr>
              <w:rPr>
                <w:rFonts w:ascii="Arial" w:hAnsi="Arial" w:cs="Arial"/>
              </w:rPr>
            </w:pPr>
            <w:r w:rsidRPr="00744041">
              <w:rPr>
                <w:rFonts w:ascii="Arial" w:hAnsi="Arial" w:cs="Arial"/>
              </w:rPr>
              <w:t xml:space="preserve">Risk Register updated regularly by Project Board </w:t>
            </w:r>
          </w:p>
        </w:tc>
        <w:tc>
          <w:tcPr>
            <w:tcW w:w="679" w:type="pct"/>
          </w:tcPr>
          <w:p w:rsidR="00AA337A" w:rsidRPr="00744041" w:rsidP="00FC58D8" w14:paraId="3774D63B" w14:textId="77777777">
            <w:pPr>
              <w:rPr>
                <w:rFonts w:ascii="Arial" w:hAnsi="Arial" w:cs="Arial"/>
              </w:rPr>
            </w:pPr>
            <w:r w:rsidRPr="00744041">
              <w:rPr>
                <w:rFonts w:ascii="Arial" w:hAnsi="Arial" w:cs="Arial"/>
              </w:rPr>
              <w:t xml:space="preserve">Ongoing </w:t>
            </w:r>
          </w:p>
        </w:tc>
      </w:tr>
      <w:tr w14:paraId="0214ACFC" w14:textId="77777777" w:rsidTr="00527469">
        <w:tblPrEx>
          <w:tblW w:w="5000" w:type="pct"/>
          <w:tblLook w:val="04A0"/>
        </w:tblPrEx>
        <w:tc>
          <w:tcPr>
            <w:tcW w:w="4321" w:type="pct"/>
          </w:tcPr>
          <w:p w:rsidR="00AA337A" w:rsidRPr="00744041" w:rsidP="00FC58D8" w14:paraId="1E973D85" w14:textId="77777777">
            <w:pPr>
              <w:rPr>
                <w:rFonts w:ascii="Arial" w:hAnsi="Arial" w:cs="Arial"/>
              </w:rPr>
            </w:pPr>
            <w:r w:rsidRPr="00744041">
              <w:rPr>
                <w:rFonts w:ascii="Arial" w:hAnsi="Arial" w:cs="Arial"/>
              </w:rPr>
              <w:t xml:space="preserve">Planning application submitted for 60,000 sq ft development </w:t>
            </w:r>
          </w:p>
        </w:tc>
        <w:tc>
          <w:tcPr>
            <w:tcW w:w="679" w:type="pct"/>
          </w:tcPr>
          <w:p w:rsidR="00AA337A" w:rsidRPr="00744041" w:rsidP="00FC58D8" w14:paraId="2B1FE804" w14:textId="77777777">
            <w:pPr>
              <w:rPr>
                <w:rFonts w:ascii="Arial" w:hAnsi="Arial" w:cs="Arial"/>
              </w:rPr>
            </w:pPr>
            <w:r w:rsidRPr="00744041">
              <w:rPr>
                <w:rFonts w:ascii="Arial" w:hAnsi="Arial" w:cs="Arial"/>
              </w:rPr>
              <w:t>Mar 22</w:t>
            </w:r>
          </w:p>
        </w:tc>
      </w:tr>
      <w:tr w14:paraId="7FC8BC69" w14:textId="77777777" w:rsidTr="00527469">
        <w:tblPrEx>
          <w:tblW w:w="5000" w:type="pct"/>
          <w:tblLook w:val="04A0"/>
        </w:tblPrEx>
        <w:tc>
          <w:tcPr>
            <w:tcW w:w="4321" w:type="pct"/>
          </w:tcPr>
          <w:p w:rsidR="00AA337A" w:rsidRPr="00744041" w:rsidP="00FC58D8" w14:paraId="6E3CF69E" w14:textId="3C98EB36">
            <w:pPr>
              <w:rPr>
                <w:rFonts w:ascii="Arial" w:hAnsi="Arial" w:cs="Arial"/>
              </w:rPr>
            </w:pPr>
            <w:r w:rsidRPr="00744041">
              <w:rPr>
                <w:rFonts w:ascii="Arial" w:hAnsi="Arial" w:cs="Arial"/>
              </w:rPr>
              <w:t>Construction commences for utilities infrastructure and new gatehouse</w:t>
            </w:r>
            <w:r w:rsidR="00527469">
              <w:rPr>
                <w:rFonts w:ascii="Arial" w:hAnsi="Arial" w:cs="Arial"/>
              </w:rPr>
              <w:t xml:space="preserve"> (GBF)</w:t>
            </w:r>
          </w:p>
        </w:tc>
        <w:tc>
          <w:tcPr>
            <w:tcW w:w="679" w:type="pct"/>
          </w:tcPr>
          <w:p w:rsidR="00AA337A" w:rsidRPr="00744041" w:rsidP="00FC58D8" w14:paraId="33CDF8A6" w14:textId="0987625C">
            <w:pPr>
              <w:rPr>
                <w:rFonts w:ascii="Arial" w:hAnsi="Arial" w:cs="Arial"/>
              </w:rPr>
            </w:pPr>
            <w:r w:rsidRPr="00744041">
              <w:rPr>
                <w:rFonts w:ascii="Arial" w:hAnsi="Arial" w:cs="Arial"/>
              </w:rPr>
              <w:t xml:space="preserve">Underway </w:t>
            </w:r>
          </w:p>
        </w:tc>
      </w:tr>
      <w:tr w14:paraId="0D533CA4" w14:textId="77777777" w:rsidTr="00527469">
        <w:tblPrEx>
          <w:tblW w:w="5000" w:type="pct"/>
          <w:tblLook w:val="04A0"/>
        </w:tblPrEx>
        <w:tc>
          <w:tcPr>
            <w:tcW w:w="4321" w:type="pct"/>
          </w:tcPr>
          <w:p w:rsidR="00527469" w:rsidRPr="000C1F28" w:rsidP="00527469" w14:paraId="37A8485C" w14:textId="2065696D">
            <w:pPr>
              <w:rPr>
                <w:rFonts w:ascii="Arial" w:hAnsi="Arial" w:cs="Arial"/>
              </w:rPr>
            </w:pPr>
            <w:r w:rsidRPr="000C1F28">
              <w:rPr>
                <w:rFonts w:ascii="Arial" w:hAnsi="Arial" w:cs="Arial"/>
              </w:rPr>
              <w:t>Construction completes for utilities infrastructure and new gatehouse (GBF)</w:t>
            </w:r>
          </w:p>
        </w:tc>
        <w:tc>
          <w:tcPr>
            <w:tcW w:w="679" w:type="pct"/>
          </w:tcPr>
          <w:p w:rsidR="00527469" w:rsidRPr="000C1F28" w:rsidP="00527469" w14:paraId="4DECB7C7" w14:textId="17DC720D">
            <w:pPr>
              <w:rPr>
                <w:rFonts w:ascii="Arial" w:hAnsi="Arial" w:cs="Arial"/>
              </w:rPr>
            </w:pPr>
            <w:r w:rsidRPr="000C1F28">
              <w:rPr>
                <w:rFonts w:ascii="Arial" w:hAnsi="Arial" w:cs="Arial"/>
              </w:rPr>
              <w:t>Q1 2022</w:t>
            </w:r>
          </w:p>
        </w:tc>
      </w:tr>
      <w:tr w14:paraId="6D526385" w14:textId="77777777" w:rsidTr="00527469">
        <w:tblPrEx>
          <w:tblW w:w="5000" w:type="pct"/>
          <w:tblLook w:val="04A0"/>
        </w:tblPrEx>
        <w:tc>
          <w:tcPr>
            <w:tcW w:w="4321" w:type="pct"/>
          </w:tcPr>
          <w:p w:rsidR="00AA337A" w:rsidRPr="00744041" w:rsidP="00FC58D8" w14:paraId="52F10C9E" w14:textId="77777777">
            <w:pPr>
              <w:rPr>
                <w:rFonts w:ascii="Arial" w:hAnsi="Arial" w:cs="Arial"/>
              </w:rPr>
            </w:pPr>
            <w:r w:rsidRPr="00744041">
              <w:rPr>
                <w:rFonts w:ascii="Arial" w:hAnsi="Arial" w:cs="Arial"/>
              </w:rPr>
              <w:t xml:space="preserve">Subsequent roll out of fibre ducting on site </w:t>
            </w:r>
          </w:p>
        </w:tc>
        <w:tc>
          <w:tcPr>
            <w:tcW w:w="679" w:type="pct"/>
          </w:tcPr>
          <w:p w:rsidR="00AA337A" w:rsidRPr="00744041" w:rsidP="00FC58D8" w14:paraId="047DE8A3" w14:textId="77777777">
            <w:pPr>
              <w:rPr>
                <w:rFonts w:ascii="Arial" w:hAnsi="Arial" w:cs="Arial"/>
              </w:rPr>
            </w:pPr>
            <w:r w:rsidRPr="00744041">
              <w:rPr>
                <w:rFonts w:ascii="Arial" w:hAnsi="Arial" w:cs="Arial"/>
              </w:rPr>
              <w:t>Q2 2022</w:t>
            </w:r>
          </w:p>
        </w:tc>
      </w:tr>
      <w:tr w14:paraId="0CE7D0F1" w14:textId="77777777" w:rsidTr="00527469">
        <w:tblPrEx>
          <w:tblW w:w="5000" w:type="pct"/>
          <w:tblLook w:val="04A0"/>
        </w:tblPrEx>
        <w:tc>
          <w:tcPr>
            <w:tcW w:w="4321" w:type="pct"/>
          </w:tcPr>
          <w:p w:rsidR="00AA337A" w:rsidRPr="00744041" w:rsidP="00FC58D8" w14:paraId="0CC0C8E6" w14:textId="77777777">
            <w:pPr>
              <w:rPr>
                <w:rFonts w:ascii="Arial" w:hAnsi="Arial" w:cs="Arial"/>
              </w:rPr>
            </w:pPr>
            <w:r w:rsidRPr="00744041">
              <w:rPr>
                <w:rFonts w:ascii="Arial" w:hAnsi="Arial" w:cs="Arial"/>
              </w:rPr>
              <w:t xml:space="preserve">A flood risk assessment to be scoped and commissioned for the entire site subject to identification of funding  </w:t>
            </w:r>
          </w:p>
        </w:tc>
        <w:tc>
          <w:tcPr>
            <w:tcW w:w="679" w:type="pct"/>
          </w:tcPr>
          <w:p w:rsidR="00AA337A" w:rsidRPr="00744041" w:rsidP="00FC58D8" w14:paraId="5AE7E277" w14:textId="77777777">
            <w:pPr>
              <w:rPr>
                <w:rFonts w:ascii="Arial" w:hAnsi="Arial" w:cs="Arial"/>
              </w:rPr>
            </w:pPr>
            <w:r w:rsidRPr="00744041">
              <w:rPr>
                <w:rFonts w:ascii="Arial" w:hAnsi="Arial" w:cs="Arial"/>
              </w:rPr>
              <w:t>Q2 2022</w:t>
            </w:r>
          </w:p>
        </w:tc>
      </w:tr>
      <w:tr w14:paraId="17ED1E3F" w14:textId="77777777" w:rsidTr="00527469">
        <w:tblPrEx>
          <w:tblW w:w="5000" w:type="pct"/>
          <w:tblLook w:val="04A0"/>
        </w:tblPrEx>
        <w:tc>
          <w:tcPr>
            <w:tcW w:w="4321" w:type="pct"/>
          </w:tcPr>
          <w:p w:rsidR="00AA337A" w:rsidRPr="00744041" w:rsidP="00FC58D8" w14:paraId="34475BA2" w14:textId="77777777">
            <w:pPr>
              <w:rPr>
                <w:rFonts w:ascii="Arial" w:hAnsi="Arial" w:cs="Arial"/>
              </w:rPr>
            </w:pPr>
            <w:r w:rsidRPr="00744041">
              <w:rPr>
                <w:rFonts w:ascii="Arial" w:hAnsi="Arial" w:cs="Arial"/>
              </w:rPr>
              <w:t xml:space="preserve">A transport assessment be scoped and commissioned for the entire site subject to identification of funding- subject to progress on study of options for Fleetwood Poulton rail route </w:t>
            </w:r>
          </w:p>
        </w:tc>
        <w:tc>
          <w:tcPr>
            <w:tcW w:w="679" w:type="pct"/>
          </w:tcPr>
          <w:p w:rsidR="00AA337A" w:rsidRPr="00744041" w:rsidP="00FC58D8" w14:paraId="30932487" w14:textId="77777777">
            <w:pPr>
              <w:rPr>
                <w:rFonts w:ascii="Arial" w:hAnsi="Arial" w:cs="Arial"/>
              </w:rPr>
            </w:pPr>
            <w:r w:rsidRPr="00744041">
              <w:rPr>
                <w:rFonts w:ascii="Arial" w:hAnsi="Arial" w:cs="Arial"/>
              </w:rPr>
              <w:t>Q2 2022</w:t>
            </w:r>
          </w:p>
        </w:tc>
      </w:tr>
      <w:tr w14:paraId="0BB11B4D" w14:textId="77777777" w:rsidTr="00527469">
        <w:tblPrEx>
          <w:tblW w:w="5000" w:type="pct"/>
          <w:tblLook w:val="04A0"/>
        </w:tblPrEx>
        <w:tc>
          <w:tcPr>
            <w:tcW w:w="4321" w:type="pct"/>
          </w:tcPr>
          <w:p w:rsidR="00AA337A" w:rsidRPr="00744041" w:rsidP="00FC58D8" w14:paraId="7EAE0A22" w14:textId="77777777">
            <w:pPr>
              <w:rPr>
                <w:rFonts w:ascii="Arial" w:hAnsi="Arial" w:cs="Arial"/>
              </w:rPr>
            </w:pPr>
            <w:r w:rsidRPr="00744041">
              <w:rPr>
                <w:rFonts w:ascii="Arial" w:hAnsi="Arial" w:cs="Arial"/>
              </w:rPr>
              <w:t>An Environmental and Ecology study to be scoped and commissioned for the entire site subject to identification of funding *</w:t>
            </w:r>
          </w:p>
        </w:tc>
        <w:tc>
          <w:tcPr>
            <w:tcW w:w="679" w:type="pct"/>
          </w:tcPr>
          <w:p w:rsidR="00AA337A" w:rsidRPr="00744041" w:rsidP="00FC58D8" w14:paraId="75C7C3D8" w14:textId="77777777">
            <w:pPr>
              <w:rPr>
                <w:rFonts w:ascii="Arial" w:hAnsi="Arial" w:cs="Arial"/>
              </w:rPr>
            </w:pPr>
            <w:r w:rsidRPr="00744041">
              <w:rPr>
                <w:rFonts w:ascii="Arial" w:hAnsi="Arial" w:cs="Arial"/>
              </w:rPr>
              <w:t>Q2 2022</w:t>
            </w:r>
          </w:p>
        </w:tc>
      </w:tr>
    </w:tbl>
    <w:p w:rsidR="00C15093" w:rsidP="00172DE7" w14:paraId="351A3854" w14:textId="3F87004D">
      <w:pPr>
        <w:spacing w:after="0"/>
        <w:jc w:val="both"/>
        <w:rPr>
          <w:rFonts w:ascii="Arial" w:hAnsi="Arial" w:cs="Arial"/>
        </w:rPr>
      </w:pPr>
    </w:p>
    <w:p w:rsidR="001F154D" w:rsidRPr="00404FAC" w:rsidP="00172DE7" w14:paraId="39235C65" w14:textId="5ACF8EB2">
      <w:pPr>
        <w:spacing w:after="0"/>
        <w:jc w:val="both"/>
        <w:rPr>
          <w:rFonts w:ascii="Arial" w:hAnsi="Arial" w:cs="Arial"/>
          <w:b/>
        </w:rPr>
      </w:pPr>
      <w:r w:rsidRPr="00404FAC">
        <w:rPr>
          <w:rFonts w:ascii="Arial" w:hAnsi="Arial" w:cs="Arial"/>
          <w:b/>
        </w:rPr>
        <w:t>Objectives over 2 years:</w:t>
      </w:r>
    </w:p>
    <w:p w:rsidR="001F154D" w:rsidP="00172DE7" w14:paraId="2DAA2D58" w14:textId="51CF040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LFFN roll out across site complete</w:t>
      </w:r>
      <w:r w:rsidR="00545BF3">
        <w:rPr>
          <w:rFonts w:ascii="Arial" w:hAnsi="Arial" w:cs="Arial"/>
        </w:rPr>
        <w:t xml:space="preserve"> (LFFN fibre now to site boundary)</w:t>
      </w:r>
    </w:p>
    <w:p w:rsidR="001F154D" w:rsidP="00172DE7" w14:paraId="714FE15C" w14:textId="7777777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Commencement of spec dev build of 60,000 sq ft multi-use units </w:t>
      </w:r>
    </w:p>
    <w:p w:rsidR="00091863" w:rsidP="00172DE7" w14:paraId="1B2EAAE4" w14:textId="7777777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Utilities and </w:t>
      </w:r>
      <w:r w:rsidR="008A55C0">
        <w:rPr>
          <w:rFonts w:ascii="Arial" w:hAnsi="Arial" w:cs="Arial"/>
        </w:rPr>
        <w:t>infrastructure</w:t>
      </w:r>
      <w:r>
        <w:rPr>
          <w:rFonts w:ascii="Arial" w:hAnsi="Arial" w:cs="Arial"/>
        </w:rPr>
        <w:t xml:space="preserve"> work including new gatehouse complete </w:t>
      </w:r>
    </w:p>
    <w:p w:rsidR="00E73868" w:rsidP="00172DE7" w14:paraId="06DD2D4D" w14:textId="628108B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Railway Line</w:t>
      </w:r>
    </w:p>
    <w:p w:rsidR="00F50303" w:rsidP="00172DE7" w14:paraId="55B66F96" w14:textId="0354F105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</w:p>
    <w:p w:rsidR="001F154D" w:rsidRPr="00404FAC" w:rsidP="00172DE7" w14:paraId="783C0D6A" w14:textId="7AF2F538">
      <w:pPr>
        <w:spacing w:after="0"/>
        <w:jc w:val="both"/>
        <w:rPr>
          <w:rFonts w:ascii="Arial" w:hAnsi="Arial" w:cs="Arial"/>
          <w:b/>
        </w:rPr>
      </w:pPr>
      <w:r w:rsidRPr="00404FAC">
        <w:rPr>
          <w:rFonts w:ascii="Arial" w:hAnsi="Arial" w:cs="Arial"/>
          <w:b/>
        </w:rPr>
        <w:t>Objectives over 5 years:</w:t>
      </w:r>
    </w:p>
    <w:p w:rsidR="001F154D" w:rsidP="00172DE7" w14:paraId="2B1B37F7" w14:textId="01F2D2E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Phase 1 s</w:t>
      </w:r>
      <w:r>
        <w:rPr>
          <w:rFonts w:ascii="Arial" w:hAnsi="Arial" w:cs="Arial"/>
        </w:rPr>
        <w:t xml:space="preserve">pec build complete and fully let </w:t>
      </w:r>
    </w:p>
    <w:p w:rsidR="00404FAC" w:rsidP="00172DE7" w14:paraId="19638D42" w14:textId="15239DE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Phase 2 new spec development in planning pipeline </w:t>
      </w:r>
    </w:p>
    <w:p w:rsidR="00E73868" w:rsidP="00172DE7" w14:paraId="55CDD66D" w14:textId="498ED06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Access Road</w:t>
      </w:r>
    </w:p>
    <w:p w:rsidR="001F154D" w:rsidP="00172DE7" w14:paraId="3F18B05A" w14:textId="77777777">
      <w:pPr>
        <w:spacing w:after="0"/>
        <w:jc w:val="both"/>
        <w:rPr>
          <w:rFonts w:ascii="Arial" w:hAnsi="Arial" w:cs="Arial"/>
        </w:rPr>
      </w:pPr>
    </w:p>
    <w:p w:rsidR="001F154D" w:rsidRPr="00404FAC" w:rsidP="00172DE7" w14:paraId="4E523495" w14:textId="5B916AD7">
      <w:pPr>
        <w:spacing w:after="0"/>
        <w:jc w:val="both"/>
        <w:rPr>
          <w:rFonts w:ascii="Arial" w:hAnsi="Arial" w:cs="Arial"/>
          <w:b/>
        </w:rPr>
      </w:pPr>
      <w:r w:rsidRPr="00404FAC">
        <w:rPr>
          <w:rFonts w:ascii="Arial" w:hAnsi="Arial" w:cs="Arial"/>
          <w:b/>
        </w:rPr>
        <w:t xml:space="preserve">Objectives over 10 years: </w:t>
      </w:r>
    </w:p>
    <w:p w:rsidR="00404FAC" w:rsidP="00172DE7" w14:paraId="74BC972A" w14:textId="1004B42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50% of site built out and thriving business hub </w:t>
      </w:r>
    </w:p>
    <w:p w:rsidR="00404FAC" w:rsidRPr="00802B52" w:rsidP="00172DE7" w14:paraId="76874DD3" w14:textId="77777777">
      <w:pPr>
        <w:spacing w:after="0"/>
        <w:jc w:val="both"/>
        <w:rPr>
          <w:rFonts w:ascii="Arial" w:hAnsi="Arial" w:cs="Arial"/>
        </w:rPr>
      </w:pPr>
    </w:p>
    <w:p w:rsidR="006E7250" w:rsidP="006E7250" w14:paraId="2BF3B4F6" w14:textId="1AB86198">
      <w:pPr>
        <w:spacing w:after="0"/>
        <w:jc w:val="both"/>
        <w:rPr>
          <w:rFonts w:ascii="Arial" w:hAnsi="Arial" w:cs="Arial"/>
          <w:b/>
          <w:i/>
          <w:iCs/>
        </w:rPr>
      </w:pPr>
      <w:r w:rsidRPr="002E51A6">
        <w:rPr>
          <w:rFonts w:ascii="Arial" w:hAnsi="Arial" w:cs="Arial"/>
          <w:b/>
          <w:i/>
          <w:iCs/>
        </w:rPr>
        <w:t>R</w:t>
      </w:r>
      <w:r w:rsidRPr="002E51A6" w:rsidR="002E51A6">
        <w:rPr>
          <w:rFonts w:ascii="Arial" w:hAnsi="Arial" w:cs="Arial"/>
          <w:b/>
          <w:i/>
          <w:iCs/>
        </w:rPr>
        <w:t>ISKS</w:t>
      </w:r>
    </w:p>
    <w:p w:rsidR="002E51A6" w:rsidRPr="002E51A6" w:rsidP="006E7250" w14:paraId="2E84CDA6" w14:textId="77777777">
      <w:pPr>
        <w:spacing w:after="0"/>
        <w:jc w:val="both"/>
        <w:rPr>
          <w:rFonts w:ascii="Arial" w:hAnsi="Arial" w:cs="Arial"/>
          <w:b/>
          <w:i/>
          <w:iCs/>
        </w:rPr>
      </w:pPr>
    </w:p>
    <w:p w:rsidR="007C7D05" w:rsidRPr="006E7250" w:rsidP="006E7250" w14:paraId="5B98D7F2" w14:textId="341AD2D4">
      <w:pPr>
        <w:spacing w:after="0"/>
        <w:jc w:val="both"/>
        <w:rPr>
          <w:rFonts w:ascii="Arial" w:hAnsi="Arial" w:cs="Arial"/>
          <w:bCs/>
        </w:rPr>
      </w:pPr>
      <w:r w:rsidRPr="006E7250">
        <w:rPr>
          <w:rFonts w:ascii="Arial" w:hAnsi="Arial" w:cs="Arial"/>
          <w:bCs/>
        </w:rPr>
        <w:t xml:space="preserve">A Single Portfolio Risk Register for the combined programmes is attached </w:t>
      </w:r>
      <w:r w:rsidR="002E51A6">
        <w:rPr>
          <w:rFonts w:ascii="Arial" w:hAnsi="Arial" w:cs="Arial"/>
          <w:bCs/>
        </w:rPr>
        <w:t>t</w:t>
      </w:r>
      <w:r w:rsidRPr="006E7250">
        <w:rPr>
          <w:rFonts w:ascii="Arial" w:hAnsi="Arial" w:cs="Arial"/>
          <w:bCs/>
        </w:rPr>
        <w:t>o the main report.</w:t>
      </w:r>
    </w:p>
    <w:sectPr w:rsidSect="006E7250">
      <w:pgSz w:w="11906" w:h="16838"/>
      <w:pgMar w:top="1134" w:right="1440" w:bottom="1134" w:left="1440" w:header="28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CB64485"/>
    <w:multiLevelType w:val="hybridMultilevel"/>
    <w:tmpl w:val="0ECC22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335163"/>
    <w:multiLevelType w:val="hybridMultilevel"/>
    <w:tmpl w:val="380A4B2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DE47173"/>
    <w:multiLevelType w:val="hybridMultilevel"/>
    <w:tmpl w:val="1518B7B8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06C15E7"/>
    <w:multiLevelType w:val="hybridMultilevel"/>
    <w:tmpl w:val="DEA01E40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783539"/>
    <w:multiLevelType w:val="hybridMultilevel"/>
    <w:tmpl w:val="F72CDD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040C9B"/>
    <w:multiLevelType w:val="hybridMultilevel"/>
    <w:tmpl w:val="B532CA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78473B"/>
    <w:multiLevelType w:val="hybridMultilevel"/>
    <w:tmpl w:val="C8C0E7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8F31C2"/>
    <w:multiLevelType w:val="hybridMultilevel"/>
    <w:tmpl w:val="4FEA30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4767FF"/>
    <w:multiLevelType w:val="hybridMultilevel"/>
    <w:tmpl w:val="E2F0B7D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0"/>
  </w:num>
  <w:num w:numId="4">
    <w:abstractNumId w:val="8"/>
  </w:num>
  <w:num w:numId="5">
    <w:abstractNumId w:val="3"/>
  </w:num>
  <w:num w:numId="6">
    <w:abstractNumId w:val="1"/>
  </w:num>
  <w:num w:numId="7">
    <w:abstractNumId w:val="4"/>
  </w:num>
  <w:num w:numId="8">
    <w:abstractNumId w:val="6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078"/>
    <w:rsid w:val="00016A34"/>
    <w:rsid w:val="00091863"/>
    <w:rsid w:val="00093A07"/>
    <w:rsid w:val="000C1F28"/>
    <w:rsid w:val="000C3BA0"/>
    <w:rsid w:val="000E5AE8"/>
    <w:rsid w:val="0010404A"/>
    <w:rsid w:val="00114431"/>
    <w:rsid w:val="00143C4A"/>
    <w:rsid w:val="001520EF"/>
    <w:rsid w:val="00172DE7"/>
    <w:rsid w:val="00176472"/>
    <w:rsid w:val="001A4055"/>
    <w:rsid w:val="001B5D21"/>
    <w:rsid w:val="001E2A6F"/>
    <w:rsid w:val="001F154D"/>
    <w:rsid w:val="001F2BA7"/>
    <w:rsid w:val="00244B64"/>
    <w:rsid w:val="00275537"/>
    <w:rsid w:val="002E51A6"/>
    <w:rsid w:val="002F2509"/>
    <w:rsid w:val="003463B6"/>
    <w:rsid w:val="00396D2B"/>
    <w:rsid w:val="003B44C4"/>
    <w:rsid w:val="003B5FE7"/>
    <w:rsid w:val="00404FAC"/>
    <w:rsid w:val="00441478"/>
    <w:rsid w:val="00447715"/>
    <w:rsid w:val="00487685"/>
    <w:rsid w:val="00496E7E"/>
    <w:rsid w:val="004D09D3"/>
    <w:rsid w:val="004E2876"/>
    <w:rsid w:val="004F5C98"/>
    <w:rsid w:val="005202CA"/>
    <w:rsid w:val="00527469"/>
    <w:rsid w:val="00542BC8"/>
    <w:rsid w:val="00545BF3"/>
    <w:rsid w:val="00560C90"/>
    <w:rsid w:val="00565297"/>
    <w:rsid w:val="00575844"/>
    <w:rsid w:val="005767CD"/>
    <w:rsid w:val="005777BE"/>
    <w:rsid w:val="005840AC"/>
    <w:rsid w:val="005D3338"/>
    <w:rsid w:val="005E6646"/>
    <w:rsid w:val="00616FD0"/>
    <w:rsid w:val="00644259"/>
    <w:rsid w:val="006477F9"/>
    <w:rsid w:val="0066001C"/>
    <w:rsid w:val="006604BB"/>
    <w:rsid w:val="006A1F44"/>
    <w:rsid w:val="006B1773"/>
    <w:rsid w:val="006E7250"/>
    <w:rsid w:val="00744041"/>
    <w:rsid w:val="00773911"/>
    <w:rsid w:val="0078229C"/>
    <w:rsid w:val="007B5054"/>
    <w:rsid w:val="007C7D05"/>
    <w:rsid w:val="00802B52"/>
    <w:rsid w:val="008079FA"/>
    <w:rsid w:val="0084775D"/>
    <w:rsid w:val="00862397"/>
    <w:rsid w:val="0087243E"/>
    <w:rsid w:val="008A55C0"/>
    <w:rsid w:val="00917A33"/>
    <w:rsid w:val="0097462D"/>
    <w:rsid w:val="009A29B4"/>
    <w:rsid w:val="00A529B8"/>
    <w:rsid w:val="00A931BA"/>
    <w:rsid w:val="00A969D8"/>
    <w:rsid w:val="00AA337A"/>
    <w:rsid w:val="00AC1C19"/>
    <w:rsid w:val="00B029AF"/>
    <w:rsid w:val="00B15C0B"/>
    <w:rsid w:val="00BD6C70"/>
    <w:rsid w:val="00BD6DBB"/>
    <w:rsid w:val="00C046D8"/>
    <w:rsid w:val="00C15093"/>
    <w:rsid w:val="00C95889"/>
    <w:rsid w:val="00C965F3"/>
    <w:rsid w:val="00CB3078"/>
    <w:rsid w:val="00CB5F66"/>
    <w:rsid w:val="00CC1896"/>
    <w:rsid w:val="00CD762E"/>
    <w:rsid w:val="00CF3559"/>
    <w:rsid w:val="00D97330"/>
    <w:rsid w:val="00E2624A"/>
    <w:rsid w:val="00E4520F"/>
    <w:rsid w:val="00E54EB5"/>
    <w:rsid w:val="00E73868"/>
    <w:rsid w:val="00E80CDF"/>
    <w:rsid w:val="00EF763B"/>
    <w:rsid w:val="00F50303"/>
    <w:rsid w:val="00F915DF"/>
    <w:rsid w:val="00F91C5F"/>
    <w:rsid w:val="00FA7782"/>
    <w:rsid w:val="00FC58D8"/>
    <w:rsid w:val="00FF4405"/>
  </w:rsids>
  <m:mathPr>
    <m:mathFont m:val="Cambria Math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2BAC470D-A1EC-4F8B-BCB8-95EA4A2E5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3078"/>
    <w:pPr>
      <w:spacing w:after="0" w:line="240" w:lineRule="auto"/>
      <w:ind w:left="720"/>
    </w:pPr>
    <w:rPr>
      <w:rFonts w:ascii="Calibri" w:hAnsi="Calibri" w:cs="Calibri"/>
    </w:rPr>
  </w:style>
  <w:style w:type="table" w:styleId="TableGrid">
    <w:name w:val="Table Grid"/>
    <w:basedOn w:val="TableNormal"/>
    <w:uiPriority w:val="39"/>
    <w:rsid w:val="00584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969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69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69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69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69D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69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9D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B5F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5FE7"/>
  </w:style>
  <w:style w:type="paragraph" w:styleId="Footer">
    <w:name w:val="footer"/>
    <w:basedOn w:val="Normal"/>
    <w:link w:val="FooterChar"/>
    <w:uiPriority w:val="99"/>
    <w:unhideWhenUsed/>
    <w:rsid w:val="003B5F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5FE7"/>
  </w:style>
  <w:style w:type="table" w:customStyle="1" w:styleId="TableGrid1">
    <w:name w:val="Table Grid1"/>
    <w:basedOn w:val="TableNormal"/>
    <w:next w:val="TableGrid"/>
    <w:uiPriority w:val="39"/>
    <w:rsid w:val="00114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E72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08957C616B174D925C63C2F737465C" ma:contentTypeVersion="14" ma:contentTypeDescription="Create a new document." ma:contentTypeScope="" ma:versionID="47aee3ff182378ff0ed52c54da8f756e">
  <xsd:schema xmlns:xsd="http://www.w3.org/2001/XMLSchema" xmlns:xs="http://www.w3.org/2001/XMLSchema" xmlns:p="http://schemas.microsoft.com/office/2006/metadata/properties" xmlns:ns3="130c9b05-ae92-4b30-8076-4799496fc388" xmlns:ns4="884f0735-971c-455b-86aa-f33cfd6896ab" targetNamespace="http://schemas.microsoft.com/office/2006/metadata/properties" ma:root="true" ma:fieldsID="dd00862ea2b21c1cb00da9d9df64aa23" ns3:_="" ns4:_="">
    <xsd:import namespace="130c9b05-ae92-4b30-8076-4799496fc388"/>
    <xsd:import namespace="884f0735-971c-455b-86aa-f33cfd6896a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0c9b05-ae92-4b30-8076-4799496fc3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4f0735-971c-455b-86aa-f33cfd6896a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E345DE1-4B6E-42E5-8ADA-4F2911CA84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0c9b05-ae92-4b30-8076-4799496fc388"/>
    <ds:schemaRef ds:uri="884f0735-971c-455b-86aa-f33cfd6896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0ED52B-2567-4B33-B72F-2D0B3176A0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8FBD312-3E8C-4626-A77A-8A94AF21058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 County Council</Company>
  <LinksUpToDate>false</LinksUpToDate>
  <CharactersWithSpaces>3974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Mulla, Hussein</dc:creator>
  <cp:lastModifiedBy>Parkinson, Anne-Marie (LEP)</cp:lastModifiedBy>
  <cp:revision>3</cp:revision>
  <dcterms:created xsi:type="dcterms:W3CDTF">2022-03-04T17:47:00Z</dcterms:created>
  <dcterms:modified xsi:type="dcterms:W3CDTF">2022-03-04T17:47:00Z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0x0101002208957C616B174D925C63C2F737465C</vt:lpwstr>
  </property>
</Properties>
</file>